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465" w:lineRule="atLeast"/>
        <w:rPr>
          <w:rStyle w:val="7"/>
          <w:rFonts w:ascii="仿宋_GB2312" w:eastAsia="仿宋_GB2312" w:cs="仿宋_GB2312"/>
          <w:sz w:val="21"/>
          <w:szCs w:val="21"/>
        </w:rPr>
      </w:pPr>
      <w:r>
        <w:rPr>
          <w:rStyle w:val="7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NRB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YFYC-</w:t>
      </w:r>
      <w:r>
        <w:rPr>
          <w:rFonts w:hint="eastAsia" w:ascii="仿宋_GB2312" w:hAnsi="宋体" w:eastAsia="仿宋_GB2312" w:cs="仿宋"/>
          <w:b/>
          <w:color w:val="auto"/>
          <w:kern w:val="1"/>
          <w:sz w:val="24"/>
          <w:u w:val="none"/>
          <w:lang w:val="en-US" w:eastAsia="zh-CN"/>
        </w:rPr>
        <w:t>XG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-2023-2</w:t>
      </w:r>
    </w:p>
    <w:tbl>
      <w:tblPr>
        <w:tblStyle w:val="5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联系方式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both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一分公司益常高速扩容工程第六合同段项目经理部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5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5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Arial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  <w:t>成立时间</w:t>
                  </w: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  <w:t>组织机构代码证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传真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邮编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注册时间</w:t>
                  </w: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注册号</w:t>
                  </w: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5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80" w:lineRule="exact"/>
                    <w:jc w:val="both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一分公司益常高速扩容工程第六合同段项目型钢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招标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right="708" w:firstLine="590" w:firstLineChars="245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H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NRB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YFYC-XG-2023-2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9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9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