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19-GJG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在阅读和理解了本次招标公告后，认为我单位符合招标公告对投标人的基本要求，在此特向贵方提出参与上述招标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所有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240" w:firstLineChars="135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78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张官高速三分部B标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590" w:firstLineChars="245"/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19-GJG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480" w:firstLineChars="200"/>
                    <w:jc w:val="left"/>
                    <w:rPr>
                      <w:rFonts w:hint="default" w:ascii="仿宋_GB2312" w:hAnsi="宋体" w:eastAsia="仿宋_GB2312" w:cs="仿宋"/>
                      <w:kern w:val="1"/>
                      <w:sz w:val="24"/>
                      <w:shd w:val="pct10" w:color="auto" w:fill="FFFFFF"/>
                      <w:lang w:val="en-US" w:eastAsia="zh-CN"/>
                    </w:rPr>
                  </w:pPr>
                  <w:r>
                    <w:rPr>
                      <w:rFonts w:hint="eastAsia" w:ascii="仿宋_GB2312" w:hAnsi="仿宋" w:eastAsia="仿宋_GB2312"/>
                      <w:color w:val="auto"/>
                      <w:sz w:val="24"/>
                      <w:lang w:val="en-US" w:eastAsia="zh-CN"/>
                    </w:rPr>
                    <w:t>钢混组合梁钢结构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